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Times New Roman" w:cs="Times New Roman" w:eastAsia="Times New Roman" w:hAnsi="Times New Roman"/>
          <w:b/>
          <w:bCs/>
          <w:sz w:val="24"/>
          <w:szCs w:val="24"/>
        </w:rPr>
        <w:t xml:space="preserve">LATVIJAS PAŠVALDĪBU SAVIENĪBA</w:t>
      </w:r>
    </w:p>
    <w:p>
      <w:pPr>
        <w:spacing w:after="300"/>
        <w:jc w:val="left"/>
      </w:pPr>
      <w:r>
        <w:rPr>
          <w:rFonts w:ascii="Times New Roman" w:cs="Times New Roman" w:eastAsia="Times New Roman" w:hAnsi="Times New Roman"/>
          <w:i/>
          <w:iCs/>
          <w:color w:val="555555"/>
          <w:sz w:val="20"/>
          <w:szCs w:val="20"/>
        </w:rPr>
        <w:t xml:space="preserve">Reģ. Nr. [•], [adrese], Rīga, LV-[•]</w:t>
      </w:r>
    </w:p>
    <w:p>
      <w:pPr>
        <w:spacing w:after="60"/>
        <w:jc w:val="right"/>
      </w:pPr>
      <w:r>
        <w:rPr>
          <w:rFonts w:ascii="Times New Roman" w:cs="Times New Roman" w:eastAsia="Times New Roman" w:hAnsi="Times New Roman"/>
          <w:sz w:val="22"/>
          <w:szCs w:val="22"/>
        </w:rPr>
        <w:t xml:space="preserve">Viedās administrācijas un reģionālās attīstības ministrijai</w:t>
      </w:r>
    </w:p>
    <w:p>
      <w:pPr>
        <w:spacing w:after="300"/>
        <w:jc w:val="right"/>
      </w:pPr>
      <w:r>
        <w:rPr>
          <w:rFonts w:ascii="Times New Roman" w:cs="Times New Roman" w:eastAsia="Times New Roman" w:hAnsi="Times New Roman"/>
          <w:sz w:val="22"/>
          <w:szCs w:val="22"/>
        </w:rPr>
        <w:t xml:space="preserve">Iesniegts TAP portālā</w:t>
      </w:r>
    </w:p>
    <w:p>
      <w:pPr>
        <w:tabs>
          <w:tab w:val="right" w:pos="9026"/>
        </w:tabs>
        <w:spacing w:after="60"/>
        <w:jc w:val="left"/>
      </w:pPr>
      <w:r>
        <w:rPr>
          <w:rFonts w:ascii="Times New Roman" w:cs="Times New Roman" w:eastAsia="Times New Roman" w:hAnsi="Times New Roman"/>
          <w:sz w:val="22"/>
          <w:szCs w:val="22"/>
        </w:rPr>
        <w:t xml:space="preserve">Rīgā</w:t>
      </w:r>
      <w:r>
        <w:rPr>
          <w:rFonts w:ascii="Times New Roman" w:cs="Times New Roman" w:eastAsia="Times New Roman" w:hAnsi="Times New Roman"/>
          <w:sz w:val="22"/>
          <w:szCs w:val="22"/>
        </w:rPr>
        <w:tab/>
      </w:r>
      <w:r>
        <w:rPr>
          <w:rFonts w:ascii="Times New Roman" w:cs="Times New Roman" w:eastAsia="Times New Roman" w:hAnsi="Times New Roman"/>
          <w:sz w:val="22"/>
          <w:szCs w:val="22"/>
        </w:rPr>
        <w:t xml:space="preserve">[DATUMS]</w:t>
      </w:r>
      <w:r>
        <w:rPr>
          <w:rFonts w:ascii="Times New Roman" w:cs="Times New Roman" w:eastAsia="Times New Roman" w:hAnsi="Times New Roman"/>
          <w:sz w:val="22"/>
          <w:szCs w:val="22"/>
        </w:rPr>
        <w:tab/>
      </w:r>
      <w:r>
        <w:rPr>
          <w:rFonts w:ascii="Times New Roman" w:cs="Times New Roman" w:eastAsia="Times New Roman" w:hAnsi="Times New Roman"/>
          <w:sz w:val="22"/>
          <w:szCs w:val="22"/>
        </w:rPr>
        <w:t xml:space="preserve">Nr. [•]</w:t>
      </w:r>
    </w:p>
    <w:p>
      <w:pPr>
        <w:spacing w:after="300" w:before="200"/>
        <w:jc w:val="center"/>
      </w:pPr>
      <w:r>
        <w:rPr>
          <w:rFonts w:ascii="Times New Roman" w:cs="Times New Roman" w:eastAsia="Times New Roman" w:hAnsi="Times New Roman"/>
          <w:b/>
          <w:bCs/>
          <w:sz w:val="22"/>
          <w:szCs w:val="22"/>
        </w:rPr>
        <w:t xml:space="preserve">Par Ministru kabineta noteikumu projektu “Valsts digitālās pārvaldes informācijas un komunikācijas tehnoloģiju resursu attīstības kārtība” (TAP lietas Nr. 26-TA-2150)</w:t>
      </w:r>
    </w:p>
    <w:p>
      <w:pPr>
        <w:spacing w:after="160" w:line="276"/>
        <w:jc w:val="both"/>
      </w:pPr>
      <w:r>
        <w:rPr>
          <w:rFonts w:ascii="Times New Roman" w:cs="Times New Roman" w:eastAsia="Times New Roman" w:hAnsi="Times New Roman"/>
          <w:sz w:val="22"/>
          <w:szCs w:val="22"/>
        </w:rPr>
        <w:t xml:space="preserve">Latvijas Pašvaldību savienība (turpmāk – LPS) ir izskatījusi Ministru kabineta noteikumu projektu “Valsts digitālās pārvaldes informācijas un komunikācijas tehnoloģiju resursu attīstības kārtība” (turpmāk – Noteikumu projekts), tā anotāciju (ex-ante), kā arī 1. pielikumu “Vispārējās tehniskās un drošības prasības” un 2. pielikumu “Informācijas un komunikācijas tehnoloģiju resursa attīstības aktivitātes lietderības un investīciju pamatojums” (turpmāk kopā – Projekts), un sniedz šādu atzinumu.</w:t>
      </w:r>
    </w:p>
    <w:p>
      <w:pPr>
        <w:spacing w:after="160" w:before="320"/>
      </w:pPr>
      <w:r>
        <w:rPr>
          <w:rFonts w:ascii="Times New Roman" w:cs="Times New Roman" w:eastAsia="Times New Roman" w:hAnsi="Times New Roman"/>
          <w:b/>
          <w:bCs/>
          <w:sz w:val="22"/>
          <w:szCs w:val="22"/>
        </w:rPr>
        <w:t xml:space="preserve">I. Vispārējs vērtējums</w:t>
      </w:r>
    </w:p>
    <w:p>
      <w:pPr>
        <w:spacing w:after="160" w:line="276"/>
        <w:jc w:val="both"/>
      </w:pPr>
      <w:r>
        <w:rPr>
          <w:rFonts w:ascii="Times New Roman" w:cs="Times New Roman" w:eastAsia="Times New Roman" w:hAnsi="Times New Roman"/>
          <w:sz w:val="22"/>
          <w:szCs w:val="22"/>
        </w:rPr>
        <w:t xml:space="preserve">LPS kopumā atbalsta Projekta izvirzīto mērķi – nodrošināt vienotu, uz jomu arhitektūrām balstītu un pārskatāmu valsts informācijas un komunikācijas tehnoloģiju (turpmāk – IKT) investīciju plānošanas un uzraudzības kārtību, kā arī novērst spēkā esošajā regulējumā (Ministru kabineta 2023. gada 4. jūlija noteikumi Nr. 367 un Nr. 368) konstatētās nepilnības. LPS atzinīgi vērtē, ka Projekta 5.13. punktā “pasūtījumprogrammatūras” definīcija attiecināta tikai uz pēc īpaša pasūtījuma izstrādātu programmatūru, attiecībā uz kuru iestādei vai valstij pieder autortiesības vai ekskluzīvas lietošanas tiesības – tas daļēji atbilst pašvaldību iepriekš paustajam iebildumam (LPS 2026. gada 5. augusta vēstules Nr. 202608/INIC366 procesā apkopotajiem priekšlikumiem par 26-TA-1866) par nepieciešamību nošķirt individuāli izstrādātu kodu no piegādātāja intelektuālā īpašuma.</w:t>
      </w:r>
    </w:p>
    <w:p>
      <w:pPr>
        <w:spacing w:after="160" w:line="276"/>
        <w:jc w:val="both"/>
      </w:pPr>
      <w:r>
        <w:rPr>
          <w:rFonts w:ascii="Times New Roman" w:cs="Times New Roman" w:eastAsia="Times New Roman" w:hAnsi="Times New Roman"/>
          <w:sz w:val="22"/>
          <w:szCs w:val="22"/>
        </w:rPr>
        <w:t xml:space="preserve">Vienlaikus LPS norāda, ka Projekts būtiski paplašina regulējuma subjektu loku, attiecinot to arī uz atvasinātām publiskām personām un to iestādēm (Projekta 3. punkts), kas ietver arī pašvaldības un to iestādes, tostarp pašvaldību kapitālsabiedrības, ciktāl tām deleģēti valsts pārvaldes uzdevumi. Šāda tvēruma paplašināšana, kā arī jaunā, pēc būtības saistošā lietderības un investīciju iepriekšējās saskaņošanas kārtība rada vairākus principiālus jautājumus par pilnvarojuma robežām, pašvaldību autonomiju un administratīvo slogu, kas detalizēti izklāstīti turpmāk. Ņemot vērā minēto, LPS uzskata, ka Projekts nav atbalstāms pašreizējā redakcijā un lūdz to pilnveidot atbilstoši zemāk norādītajiem priekšlikumiem.</w:t>
      </w:r>
    </w:p>
    <w:p>
      <w:pPr>
        <w:spacing w:after="160" w:before="320"/>
      </w:pPr>
      <w:r>
        <w:rPr>
          <w:rFonts w:ascii="Times New Roman" w:cs="Times New Roman" w:eastAsia="Times New Roman" w:hAnsi="Times New Roman"/>
          <w:b/>
          <w:bCs/>
          <w:sz w:val="22"/>
          <w:szCs w:val="22"/>
        </w:rPr>
        <w:t xml:space="preserve">II. Iebildumi un priekšlikumi</w:t>
      </w:r>
    </w:p>
    <w:p>
      <w:pPr>
        <w:spacing w:after="120" w:before="300"/>
      </w:pPr>
      <w:r>
        <w:rPr>
          <w:rFonts w:ascii="Times New Roman" w:cs="Times New Roman" w:eastAsia="Times New Roman" w:hAnsi="Times New Roman"/>
          <w:b/>
          <w:bCs/>
          <w:sz w:val="22"/>
          <w:szCs w:val="22"/>
        </w:rPr>
        <w:t xml:space="preserve">1. Regulējuma attiecināšana uz pašvaldībām pārsniedz pilnvarojošā likuma – Valsts informācijas sistēmu likuma – tvērumu</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Projekts izdots saskaņā ar Valsts informācijas sistēmu likuma 4. panta otro daļu, un tā 3. punkts nosaka, ka Noteikumi attiecas arī uz “atvasinātām publiskām personām un to iestādēm”, neizdalot no tvēruma pašvaldību iekšējai funkciju izpildei paredzētās informācijas sistēmas. Tomēr Valsts informācijas sistēmu likuma 3. panta ceturtā daļa no likuma darbības jomas expresis verbis izslēdz informācijas sistēmas, ko valsts un pašvaldību institūcijas veido un uztur iekšējās lietošanas informācijas apritei, savukārt likuma 1. pantā ietvertā “valsts informācijas sistēmas” definīcija primāri saistīta ar valsts pārvaldes funkciju nodrošināšanu, nevis ar pašvaldību autonomo funkciju izpildi. Likuma 4. panta otrā daļa turklāt pilnvaro Ministru kabinetu noteikt IKT resursu attīstības aktivitāšu un likvidēšanas uzraudzības kārtību un vispārējās tehniskās un drošības prasības – tātad uzraudzības (ex post), nevis iepriekšējas saskaņošanas vai atļaujas izsniegšanas (ex ante licencēšanas) kārtību.</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Projekts, ieviešot pienākumu reģistrēt aktivitātes VIRSIS pirms to uzsākšanas (24., 28. punkts), aizliegumu uzsākt iepirkuma procedūru pirms aktivitātes saskaņošanas (48. punkts) un VARAM/Valsts digitālo investīciju komisijas saistošu atzinumu kā priekšnosacījumu (42., 44.–45. punkts), pēc būtības ievieš iepriekšējas atļaušanas (licencēšanas), nevis uzraudzības mehānismu, un to attiecina arī uz pašvaldībām, lai gan pamatlikums šādu pilnvarojumu attiecībā uz pašvaldību iekšējai funkciju izpildei paredzētām sistēmām nedod. LPS ieskatā šāda regulējuma attiecināšana uz pašvaldībām pārsniedz Ministru kabinetam doto pilnvarojumu un neatbilst Valsts pārvaldes iekārtas likuma 15. panta prasībai, ka ārējo normatīvo aktu var izdot tikai uz likumā tieši noteikta pilnvarojuma pamata un tā robežās.</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Papildināt Noteikumu projekta 2., 3. un/vai 4. punktu ar skaidru norādi, ka attiecībā uz pašvaldībām un to iestādēm Noteikumi piemērojami tikai tiktāl, ciktāl tas tieši un nepārprotami izriet no Valsts informācijas sistēmu likuma vai cita speciālā likuma (piemēram, saistībā ar valsts koplietošanas risinājumu izmantošanu vai datu apmaiņu ar valsts informācijas sistēmām), un ka uz pašvaldību autonomo funkciju izpildei paredzētu IKT resursu attīstību Noteikumi neattiecas kā uz obligātu saskaņošanas priekšnosacījumu. Alternatīvi – ja par nepieciešamu tiek atzīta pašvaldību IKT resursu iekļaušana šajā kārtībā, lūdzam to risināt ar grozījumiem Valsts informācijas sistēmu likumā vai Pašvaldību likumā, nevis ar Ministru kabineta noteikumiem, kā arī sniegt Tieslietu ministrijas atzinumu par pilnvarojuma pietiekamību.</w:t>
      </w:r>
    </w:p>
    <w:p>
      <w:pPr>
        <w:spacing w:after="120" w:before="300"/>
      </w:pPr>
      <w:r>
        <w:rPr>
          <w:rFonts w:ascii="Times New Roman" w:cs="Times New Roman" w:eastAsia="Times New Roman" w:hAnsi="Times New Roman"/>
          <w:b/>
          <w:bCs/>
          <w:sz w:val="22"/>
          <w:szCs w:val="22"/>
        </w:rPr>
        <w:t xml:space="preserve">2. Saistošas lietderības (ex ante) izvērtēšanas noteikšana neatbilst pašvaldību autonomijas principam</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Pašvaldību likuma 2. panta pirmā daļa un 4. panta trešā daļa nosaka, ka pašvaldība patstāvīgi nodrošina un ir atbildīga par autonomo funkciju izpildi, savukārt Eiropas vietējo pašvaldību hartas, kas Latvijai saistoša, 8. pants pieļauj valsts iestāžu uzraudzību pār pašvaldībām principā tikai likumības (nevis lietderības) kontroles apjomā, izņemot deleģētu funkciju izpildi. Projekta VI nodaļa paredz, ka otrā un trešā līmeņa (virs 140 000 EUR) IKT attīstības aktivitātēm obligāti jāsaņem VARAM vai Valsts digitālo investīciju komisijas atzinums par aktivitātes lietderību, kas var būt “nesaskaņošana” vai “saskaņošana ar nosacījumiem” (45. punkts), un bez tā iepirkumu uzsākt nedrīkst (48. punkts).</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Ja šāda kārtība tiek attiecināta uz pašvaldību autonomo funkciju izpildei paredzētiem IKT ieguldījumiem, tas nozīmē, ka valsts institūcija iegūst faktisku veto tiesību pār pašvaldības lēmumu izlietot savus (pašvaldības budžeta) līdzekļus autonomās kompetences ietvaros, vērtējot ne tikai tiesiskumu, bet aktivitātes lietderību, alternatīvas un izmaksu-ieguvumu attiecību – tas pārsniedz pieļaujamās valsts uzraudzības robežas pār autonomo funkciju izpildi.</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Precizēt Noteikumu projekta V un VI nodaļu, nosakot, ka attiecībā uz pašvaldību autonomo funkciju izpildei paredzētām aktivitātēm VARAM un Valsts digitālo investīciju komisijas atzinumam ir konsultatīvs, nevis saistošs raksturs (proti, tas nav priekšnosacījums iepirkuma procedūras uzsākšanai), saglabājot obligātu saskaņošanu vienīgi gadījumos, kad aktivitāte tieši skar valsts koplietošanas risinājumus, valsts informācijas sistēmu sadarbspēju vai ir finansēta no valsts budžeta vai ES fondu līdzekļiem, ko administrē valsts institūcija.</w:t>
      </w:r>
    </w:p>
    <w:p>
      <w:pPr>
        <w:spacing w:after="120" w:before="300"/>
      </w:pPr>
      <w:r>
        <w:rPr>
          <w:rFonts w:ascii="Times New Roman" w:cs="Times New Roman" w:eastAsia="Times New Roman" w:hAnsi="Times New Roman"/>
          <w:b/>
          <w:bCs/>
          <w:sz w:val="22"/>
          <w:szCs w:val="22"/>
        </w:rPr>
        <w:t xml:space="preserve">3. Administratīvā sloga un finansiālās ietekmes uz pašvaldībām izvērtējums anotācijā nav veikts</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Anotācijas 2.3. (“Administratīvo izmaksu novērtējums juridiskām personām”), 2.4. (“Administratīvā sloga novērtējums fiziskām personām”), 2.5. (“Atbilstības izmaksu novērtējums”), kā arī 7.2. un 7.3. sadaļā uz jautājumu “Vai projekts skar šo jomu?” norādīts “Nē”. Anotācijas 3. sadaļas budžeta ietekmes tabulā visās pozīcijās, kas attiecas uz pašvaldību budžetu (1.3., 2.3., 3.3., 5.3.), norādīta vērtība “0” visos periodos (2026.–2029. gads).</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Ņemot vērā, ka atbilstoši 1. iebildumā minētajam Projekta subjektu lokā formāli ietilpst arī pašvaldības un to iestādes, “0” vērtība budžeta tabulā liecina, ka ietekme uz pašvaldību budžetiem vispār nav aprēķināta, nevis ka tā patiešām ir nulle. Nav izvērtēts, cik pašvaldību IKT attīstības aktivitāšu gadā varētu sasniegt otrā līmeņa (140 000 EUR) slieksni un tādēļ tikt pakļautas pilnajai lietderības un investīciju pamatošanas, VIRSIS uzturēšanas un ceturkšņa aktualizācijas prasībām (2. pielikums, 26., 29., 54. punkts), kā arī kāds būtu ar to saistītais darba stundu un ekspertīzes apjoms mazākās pašvaldībās, kurām nav specializēta IKT pārvaldības personāla.</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Papildināt anotāciju ar pašvaldību administratīvā un atbilstības sloga novērtējumu (2.3.–2.5., 7.2.–7.3. sadaļa), ietverot indikatīvu skaitu pašvaldību aktivitāšu, kas varētu sasniegt 2. un 3. līmeņa slieksni, un ar to saistīto laika/resursu patēriņu. Ja izvērtējuma rezultātā tiek konstatēta būtiska ietekme, paredzēt atbilstošu finansējumu vai metodisko/kapacitātes atbalstu pašvaldībām, analogi tam, kas anotācijas 3. sadaļā paredzēts VARAM divām jaunām amata vietām.</w:t>
      </w:r>
    </w:p>
    <w:p>
      <w:pPr>
        <w:spacing w:after="120" w:before="300"/>
      </w:pPr>
      <w:r>
        <w:rPr>
          <w:rFonts w:ascii="Times New Roman" w:cs="Times New Roman" w:eastAsia="Times New Roman" w:hAnsi="Times New Roman"/>
          <w:b/>
          <w:bCs/>
          <w:sz w:val="22"/>
          <w:szCs w:val="22"/>
        </w:rPr>
        <w:t xml:space="preserve">4. Pašvaldību/LPS pārstāvības trūkums Valsts digitālo investīciju komisijā un Valsts digitālās pārvaldes vadītāju forumā</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Projekta 10. punktā uzskaitītas Valsts digitālo investīciju komisijas ekspertu pārstāvības jomas – digitālā transformācija, publisko investīciju pārvaldība, uzņēmējdarbība, augstākā izglītība un pētniecība, informācijas tehnoloģijas, kiberdrošība un datu pārvaldība. Pašvaldību pārstāvība komisijas sastāvā nav paredzēta. Vienīgā LPS iesaiste paredzēta 40.7. punktā – ad hoc, tikai atsevišķas otrā un trešā līmeņa aktivitātes izvērtēšanas ietvaros, “ja IKT resursu attīstības aktivitāte ietekmē procesus pašvaldībās”.</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Šāda punktveida iesaiste neaizstāj sistēmisku pašvaldību interešu pārstāvību lēmumu pieņemšanā par valsts IKT investīciju portfeļa prioritātēm kopumā, jomu sarakstu un vadošo institūciju noteikšanu (12.–13. punkts), kā arī Valsts digitālās pārvaldes vadītāju foruma darbu, kurā tiek saskaņotas jomu arhitektūras (16. punkts). Šis iebildums pēc būtības jau tika izteikts pašvaldību atsauksmēs par informatīvo ziņojumu 26-TA-1866 (t.sk. par LPS deleģēta pārstāvja iekļaušanu Valsts digitālo investīciju padomē), un Projektā tas nav ņemts vērā.</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Papildināt Noteikumu projekta 10. punktu ar LPS deleģēta pārstāvja iekļaušanu Valsts digitālo investīciju komisijas pastāvīgajā sastāvā, kā arī paredzēt LPS pastāvīgu (nevis ad hoc) dalību Valsts digitālās pārvaldes vadītāju forumā jautājumos, kas skar jomu arhitektūras ar tiešu ietekmi uz pašvaldību sniegtajiem pakalpojumiem (piemēram, izglītība, sociālie pakalpojumi, civilā aizsardzība, teritorijas attīstības plānošana).</w:t>
      </w:r>
    </w:p>
    <w:p>
      <w:pPr>
        <w:spacing w:after="120" w:before="300"/>
      </w:pPr>
      <w:r>
        <w:rPr>
          <w:rFonts w:ascii="Times New Roman" w:cs="Times New Roman" w:eastAsia="Times New Roman" w:hAnsi="Times New Roman"/>
          <w:b/>
          <w:bCs/>
          <w:sz w:val="22"/>
          <w:szCs w:val="22"/>
        </w:rPr>
        <w:t xml:space="preserve">5. Nav noteikts mehānisms pašvaldību iesaistei jomu arhitektūru izstrādē</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Projekta 14. punkts nosaka, ka jomas vadošā institūcija jomas arhitektūru izstrādā “sadarbībā ar attiecīgajām nozares ministrijām un citām iesaistītajām institūcijām”, bet neprecizē, ka pašvaldības vai LPS ir obligāti iesaistāma puse, lai gan vairākas jomas (piemēram, izglītība, sociālie pakalpojumi, teritorijas plānošana, civilā aizsardzība) tiešā veidā ietver pašvaldību sniegtos pakalpojumus un pašvaldību pārziņā esošos IKT resursus.</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Pastāv risks, ka jomu arhitektūrās (15. punkts), tostarp indikatīvajā investīciju vajadzībā un plānotajās likvidēšanas/modernizācijas aktivitātēs, netiek pienācīgi ņemtas vērā pašvaldību esošās sistēmas un ieguldījumi, kā arī pašvaldību faktiskā gatavība plānotajām izmaiņām, kā tas jau iepriekš konstatēts saistībā ar EIS iepirkumu kataloga un mērķarhitektūras izmaiņu piemēriem.</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Papildināt Noteikumu projekta 14. punktu ar norādi, ka jomās, kuru ietvaros tiek nodrošināti pašvaldību autonomo vai deleģēto funkciju izpildei nepieciešamie pakalpojumi, jomas arhitektūras izstrādē un ikgadējā aktualizācijā (17. punkts) obligāti iesaistāma LPS vai attiecīgās jomas pašvaldību pārstāvji.</w:t>
      </w:r>
    </w:p>
    <w:p>
      <w:pPr>
        <w:spacing w:after="120" w:before="300"/>
      </w:pPr>
      <w:r>
        <w:rPr>
          <w:rFonts w:ascii="Times New Roman" w:cs="Times New Roman" w:eastAsia="Times New Roman" w:hAnsi="Times New Roman"/>
          <w:b/>
          <w:bCs/>
          <w:sz w:val="22"/>
          <w:szCs w:val="22"/>
        </w:rPr>
        <w:t xml:space="preserve">6. Koplietošanas risinājumu prioritātes princips nepietiekami ņem vērā pašvaldību jau esošos risinājumus</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Projekta 38.–39. punkts nosaka, ka pirms jauna IKT resursa izveides vai esoša būtiskas pilnveidošanas jāizvērtē iespēja izmantot valsts vai ES koplietošanas risinājumus, un, ja atbildīgā institūcija no tā atsakās, tai jāpamato, ka alternatīvais risinājums nodrošina būtiski augstāku lietderību vai zemākas kopējās dzīves cikla izmaksas.</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Pašvaldībām jau šobrīd ir izveidoti un ekspluatācijā nodoti koplietošanas rakstura risinājumi (piemēram, pašvaldību vienotā sistēma un ar to saistītie iepriekšējie ieguldījumi), kuru turpmāku attīstību šis princips varētu ierobežot vai pakļaut papildu pierādīšanas pienākumam, ja valsts līmenī tiek piedāvāts formāli salīdzināms, bet pašvaldību praksei nepiemērots risinājums. Nav skaidrs, kā šis princips mijiedarbojas ar pašvaldību pašu izveidoto koplietošanas modeļu (piemēram, plānotā pašvaldību IKT kompetenču centra) tālāku attīstību.</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Papildināt Projekta 38.–39. punktu (vai anotāciju) ar skaidrojumu, ka par “valsts vai Eiropas Savienības koplietošanas IKT resursu” šā punkta izpratnē var tikt atzīts arī pašvaldību savstarpējas koplietošanas risinājums, kas izveidots ar LPS vai pašvaldību kompetenču centra starpniecību, un ka šādos gadījumos 39. punktā minētais pierādīšanas pienākums neattiecas uz lēmumu turpināt jau ieviesta pašvaldību koplietošanas risinājuma attīstību.</w:t>
      </w:r>
    </w:p>
    <w:p>
      <w:pPr>
        <w:spacing w:after="120" w:before="300"/>
      </w:pPr>
      <w:r>
        <w:rPr>
          <w:rFonts w:ascii="Times New Roman" w:cs="Times New Roman" w:eastAsia="Times New Roman" w:hAnsi="Times New Roman"/>
          <w:b/>
          <w:bCs/>
          <w:sz w:val="22"/>
          <w:szCs w:val="22"/>
        </w:rPr>
        <w:t xml:space="preserve">7. Novērtēšanas termiņi un institūciju kapacitāte pārejas periodā</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Projekta 42. punkts nosaka VARAM 15 darbdienu termiņu atzinuma sagatavošanai, bet neparedz sekas gadījumam, ja termiņš netiek ievērots (nav noteikts “klusēšanas-piekrišanas” princips vai cits kompensējošs mehānisms). Vienlaikus Projekta 44. un 60. punkts paredz, ka Valsts digitālo investīciju komisijas funkcijas attiecībā uz trešā līmeņa aktivitātēm stājas spēkā tikai 2026. gada 1. decembrī, līdz tam šīs funkcijas pildot VARAM, un anotācijas 3. sadaļā norādīts, ka, ieviešot pilnīgu saskaņošanas pienākumu, komisijā izskatāmo jautājumu skaits, salīdzinot ar līdzšinējo “IKT būvvaldes” praksi, varētu pieaugt par 38 %.</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Šāds noslodzes pieaugums pārejas periodā, kad funkcijas paralēli pilda VARAM, rada risku, ka pašvaldību (un citu iestāžu) IKT aktivitāšu izvērtēšana un līdz ar to arī iepirkumu uzsākšana tiks kavēta objektīvu, no pašvaldības neatkarīgu iemeslu dēļ, bez jebkādas kompensācijas vai paātrinātas procedūras mehānisma.</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Papildināt Noteikumu projekta 42.–44. punktu ar: (a) noteikumu, ka VARAM termiņa neievērošanas gadījumā aktivitāte uzskatāma par saskaņotu (klusēšanas-piekrišanas princips) vai ar pagarinājuma paziņošanas pienākumu un pamatojumu; (b) pārejas perioda (līdz 2026. gada 1. decembrim) kapacitātes nodrošinājuma aprakstu, lai novērstu iepirkumu aizkavēšanos pieaugošās noslodzes dēļ.</w:t>
      </w:r>
    </w:p>
    <w:p>
      <w:pPr>
        <w:spacing w:after="120" w:before="300"/>
      </w:pPr>
      <w:r>
        <w:rPr>
          <w:rFonts w:ascii="Times New Roman" w:cs="Times New Roman" w:eastAsia="Times New Roman" w:hAnsi="Times New Roman"/>
          <w:b/>
          <w:bCs/>
          <w:sz w:val="22"/>
          <w:szCs w:val="22"/>
        </w:rPr>
        <w:t xml:space="preserve">8. “Stratēģiskas aktivitātes” un augstāka izvērtēšanas līmeņa noteikšanas kritēriji ir nenoteikti</w:t>
      </w:r>
    </w:p>
    <w:p>
      <w:pPr>
        <w:spacing w:after="160" w:line="276"/>
        <w:jc w:val="both"/>
      </w:pPr>
      <w:r>
        <w:rPr>
          <w:rFonts w:ascii="Times New Roman" w:cs="Times New Roman" w:eastAsia="Times New Roman" w:hAnsi="Times New Roman"/>
          <w:b/>
          <w:bCs/>
          <w:sz w:val="22"/>
          <w:szCs w:val="22"/>
        </w:rPr>
        <w:t xml:space="preserve">Konstatētais: </w:t>
      </w:r>
      <w:r>
        <w:rPr>
          <w:rFonts w:ascii="Times New Roman" w:cs="Times New Roman" w:eastAsia="Times New Roman" w:hAnsi="Times New Roman"/>
          <w:sz w:val="22"/>
          <w:szCs w:val="22"/>
        </w:rPr>
        <w:t xml:space="preserve">Projekta 5.9. punktā “stratēģiska aktivitāte” definēta kā aktivitāte, kas “neatkarīgi no finansējuma apmēra būtiski ietekmē vairākas nozares, valsts koplietošanas risinājumu, būtisku datu apmaiņu, kiberdrošību, valsts pakalpojumu sniegšanu vai rada augstu piegādātāja atkarības vai tehnoloģiskās ilgtspējas risku”. Projekta 33. punkts papildus pieļauj, ka 40. punktā minētās institūcijas ar motivētu lēmumu var noteikt augstāku izvērtēšanas līmeni jebkurai aktivitātei, ja tās ietekme, risku profils vai savstarpējās atkarības “pārsniedz attiecīgajam līmenim raksturīgo”.</w:t>
      </w:r>
    </w:p>
    <w:p>
      <w:pPr>
        <w:spacing w:after="160" w:line="276"/>
        <w:jc w:val="both"/>
      </w:pPr>
      <w:r>
        <w:rPr>
          <w:rFonts w:ascii="Times New Roman" w:cs="Times New Roman" w:eastAsia="Times New Roman" w:hAnsi="Times New Roman"/>
          <w:b/>
          <w:bCs/>
          <w:sz w:val="22"/>
          <w:szCs w:val="22"/>
        </w:rPr>
        <w:t xml:space="preserve">Iebildums: </w:t>
      </w:r>
      <w:r>
        <w:rPr>
          <w:rFonts w:ascii="Times New Roman" w:cs="Times New Roman" w:eastAsia="Times New Roman" w:hAnsi="Times New Roman"/>
          <w:sz w:val="22"/>
          <w:szCs w:val="22"/>
        </w:rPr>
        <w:t xml:space="preserve">Abas normas izmanto vērtējošus, kvantitatīvi nenoteiktus kritērijus, kas rada tiesisko nenoteiktību un plašu rīcības brīvību lēmuma pieņēmējam. Attiecībā uz pašvaldību aktivitātēm tas var novest pie tā, ka salīdzinoši nelielas, bet vietēji nozīmīgas pašvaldību IKT aktivitātes tiek pēc pazīmju paplašinātas interpretācijas klasificētas kā “stratēģiskas” vai pārceltas uz augstāku (t.sk. Valsts digitālo investīciju komisijas) izvērtēšanas līmeni bez skaidra, iepriekš paredzama pamata.</w:t>
      </w:r>
    </w:p>
    <w:p>
      <w:pPr>
        <w:spacing w:after="160" w:line="276"/>
        <w:jc w:val="both"/>
      </w:pPr>
      <w:r>
        <w:rPr>
          <w:rFonts w:ascii="Times New Roman" w:cs="Times New Roman" w:eastAsia="Times New Roman" w:hAnsi="Times New Roman"/>
          <w:b/>
          <w:bCs/>
          <w:sz w:val="22"/>
          <w:szCs w:val="22"/>
        </w:rPr>
        <w:t xml:space="preserve">Priekšlikums: </w:t>
      </w:r>
      <w:r>
        <w:rPr>
          <w:rFonts w:ascii="Times New Roman" w:cs="Times New Roman" w:eastAsia="Times New Roman" w:hAnsi="Times New Roman"/>
          <w:sz w:val="22"/>
          <w:szCs w:val="22"/>
        </w:rPr>
        <w:t xml:space="preserve">Papildināt Projekta 5.9. punktu ar indikatīviem, pēc iespējas kvantificējamiem kritērijiem “stratēģiskas aktivitātes” statusa noteikšanai, kā arī 33. punktu – ar pienākumu motivētu lēmumu par augstāka izvērtēšanas līmeņa noteikšanu paziņot atbildīgajai institūcijai rakstveidā, norādot konkrētus, pārbaudāmus apsvērumus, un pieļaut šāda lēmuma apstrīdēšanu.</w:t>
      </w:r>
    </w:p>
    <w:p>
      <w:pPr>
        <w:spacing w:after="160" w:before="320"/>
      </w:pPr>
      <w:r>
        <w:rPr>
          <w:rFonts w:ascii="Times New Roman" w:cs="Times New Roman" w:eastAsia="Times New Roman" w:hAnsi="Times New Roman"/>
          <w:b/>
          <w:bCs/>
          <w:sz w:val="22"/>
          <w:szCs w:val="22"/>
        </w:rPr>
        <w:t xml:space="preserve">III. Secinājums</w:t>
      </w:r>
    </w:p>
    <w:p>
      <w:pPr>
        <w:spacing w:after="160" w:line="276"/>
        <w:jc w:val="both"/>
      </w:pPr>
      <w:r>
        <w:rPr>
          <w:rFonts w:ascii="Times New Roman" w:cs="Times New Roman" w:eastAsia="Times New Roman" w:hAnsi="Times New Roman"/>
          <w:sz w:val="22"/>
          <w:szCs w:val="22"/>
        </w:rPr>
        <w:t xml:space="preserve">Ņemot vērā iepriekš minēto, LPS </w:t>
      </w:r>
      <w:r>
        <w:rPr>
          <w:rFonts w:ascii="Times New Roman" w:cs="Times New Roman" w:eastAsia="Times New Roman" w:hAnsi="Times New Roman"/>
          <w:b/>
          <w:bCs/>
          <w:sz w:val="22"/>
          <w:szCs w:val="22"/>
        </w:rPr>
        <w:t xml:space="preserve">nesaskaņo</w:t>
      </w:r>
      <w:r>
        <w:rPr>
          <w:rFonts w:ascii="Times New Roman" w:cs="Times New Roman" w:eastAsia="Times New Roman" w:hAnsi="Times New Roman"/>
          <w:sz w:val="22"/>
          <w:szCs w:val="22"/>
        </w:rPr>
        <w:t xml:space="preserve"> Ministru kabineta noteikumu projektu “Valsts digitālās pārvaldes informācijas un komunikācijas tehnoloģiju resursu attīstības kārtība” (TAP lietas Nr. 26-TA-2150) tā pašreizējā redakcijā un lūdz to pilnveidot atbilstoši šajā atzinumā izteiktajiem iebildumiem un priekšlikumiem, jo īpaši nodrošinot skaidru Ministru kabinetam dotā pilnvarojuma robežu ievērošanu attiecībā uz pašvaldībām (1. iebildums) un pašvaldību autonomijas principa ievērošanu lietderības izvērtēšanas un saskaņošanas kārtībā (2. iebildums). LPS ir gatava piedalīties Projekta tālākā pilnveidē un pieprasīt pašvaldību viedokli par konkrētiem risinājumiem, ja tas tiek uzskatīts par lietderīgu.</w:t>
      </w:r>
    </w:p>
    <w:p>
      <w:pPr>
        <w:spacing w:after="60" w:before="600"/>
      </w:pPr>
      <w:r>
        <w:rPr>
          <w:rFonts w:ascii="Times New Roman" w:cs="Times New Roman" w:eastAsia="Times New Roman" w:hAnsi="Times New Roman"/>
          <w:sz w:val="22"/>
          <w:szCs w:val="22"/>
        </w:rPr>
        <w:t xml:space="preserve">Priekšsēdis</w:t>
      </w:r>
    </w:p>
    <w:p>
      <w:pPr>
        <w:spacing w:before="500"/>
      </w:pPr>
      <w:r>
        <w:rPr>
          <w:rFonts w:ascii="Times New Roman" w:cs="Times New Roman" w:eastAsia="Times New Roman" w:hAnsi="Times New Roman"/>
          <w:sz w:val="22"/>
          <w:szCs w:val="22"/>
        </w:rPr>
        <w:t xml:space="preserve">[Vārds Uzvārds]</w:t>
      </w:r>
    </w:p>
    <w:p>
      <w:pPr>
        <w:spacing w:before="600"/>
      </w:pPr>
      <w:r>
        <w:rPr>
          <w:rFonts w:ascii="Times New Roman" w:cs="Times New Roman" w:eastAsia="Times New Roman" w:hAnsi="Times New Roman"/>
          <w:i/>
          <w:iCs/>
          <w:sz w:val="20"/>
          <w:szCs w:val="20"/>
        </w:rPr>
        <w:t xml:space="preserve">Izpildītājs: Guntars Krasovskis, guntars.krasovskis@gmail.com</w:t>
      </w:r>
    </w:p>
    <w:sectPr>
      <w:pgSz w:w="11906" w:h="16838" w:orient="portrait"/>
      <w:pgMar w:top="1418" w:right="1134" w:bottom="1418"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2026-09-21T10:55:04.769Z</dcterms:created>
  <dcterms:modified xsi:type="dcterms:W3CDTF">2026-09-21T10:55:04.782Z</dcterms:modified>
</cp:coreProperties>
</file>

<file path=docProps/custom.xml><?xml version="1.0" encoding="utf-8"?>
<Properties xmlns="http://schemas.openxmlformats.org/officeDocument/2006/custom-properties" xmlns:vt="http://schemas.openxmlformats.org/officeDocument/2006/docPropsVTypes"/>
</file>